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6.png" ContentType="image/png"/>
  <Override PartName="/word/media/rId122.png" ContentType="image/png"/>
  <Override PartName="/word/media/rId125.png" ContentType="image/png"/>
  <Override PartName="/word/media/rId128.png" ContentType="image/png"/>
  <Override PartName="/word/media/rId119.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at all time points (see</w:t>
      </w:r>
      <w:r>
        <w:t xml:space="preserve"> </w:t>
      </w:r>
      <w:r>
        <w:rPr>
          <w:b/>
          <w:bCs/>
        </w:rPr>
        <w:t xml:space="preserve">Table 1</w:t>
      </w:r>
      <w:r>
        <w:t xml:space="preserve">), the DEGs identified at 4- and 72-hpi did not yield any results in the functional enrichment analyses (i.e, GO term and KEGG pathway analysis); hence, they were excluded from all subsequent analyses. In the remaining samples from 12- and 24-hpi,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The DEG analyses results at 12 and 24-hpi are presented in</w:t>
      </w:r>
      <w:r>
        <w:rPr>
          <w:strike/>
        </w:rPr>
        <w:t xml:space="preserve"> </w:t>
      </w:r>
      <w:r>
        <w:rPr>
          <w:b/>
          <w:bCs/>
          <w:strike/>
        </w:rPr>
        <w:t xml:space="preserve">Supplementary Tables S1 and S2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we noted that,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t xml:space="preserve">We also found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Cellular Responses to Stimuli during THEV infection</w:t>
      </w:r>
      <w:r>
        <w:br/>
      </w:r>
      <w:r>
        <w:t xml:space="preserve">The transcriptome profile also suggests that THEV infection likely induced the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w:t>
      </w:r>
      <w:r>
        <w:t xml:space="preserve"> </w:t>
      </w:r>
      <w:r>
        <w:t xml:space="preserve">(31)</w:t>
      </w:r>
      <w:r>
        <w:t xml:space="preserve">. The ERAD pathway, a ubiquitin‐proteasome‐dependent process, is a protein quality control system primarily activated for degradation of unwanted byproducts of protein biogenesis, such as misfolded and unassembled/orphaned proteins</w:t>
      </w:r>
      <w:r>
        <w:t xml:space="preserve"> </w:t>
      </w:r>
      <w:r>
        <w:t xml:space="preserve">(31)</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lysosomal degradation, likely an indication of ER-to-lysosome-associated degradation. Taken together, these results suggest that THEV infection triggers significant ER-associated protein degradation, which may contribute to cell death.</w:t>
      </w:r>
    </w:p>
    <w:p>
      <w:pPr>
        <w:pStyle w:val="BodyText"/>
      </w:pPr>
      <w:r>
        <w:rPr>
          <w:b/>
          <w:bCs/>
        </w:rPr>
        <w:t xml:space="preserve">Cellular Metabolism Changes During THEV Infection</w:t>
      </w:r>
      <w:r>
        <w:br/>
      </w:r>
      <w:r>
        <w:t xml:space="preserve">Many viruses, such as hepatitis C virus (HCV), human cytomegalovirus, influenza virus, and rhinovirus, have been documented to manipulate cellular metabolism processes to their advantage</w:t>
      </w:r>
      <w:r>
        <w:t xml:space="preserve"> </w:t>
      </w:r>
      <w:r>
        <w:t xml:space="preserve">(16, 32)</w:t>
      </w:r>
      <w:r>
        <w:t xml:space="preserve">. A common consequence of infection by many viruses is to induce high glucose metabolism in host cells to provide energy for viral gene expression and replication. Adenoviruses typically upregulate energy metabolic pathways such as glycolysis in host cells</w:t>
      </w:r>
      <w:r>
        <w:t xml:space="preserve"> </w:t>
      </w:r>
      <w:r>
        <w:t xml:space="preserve">(33)</w:t>
      </w:r>
      <w:r>
        <w:t xml:space="preserve">. However, our GO results indicate a downregulation in glycolysis, tricarboxylic acid cycle, oxidative phosphorylation, and ATP synthesis (</w:t>
      </w:r>
      <w:r>
        <w:rPr>
          <w:b/>
          <w:bCs/>
        </w:rPr>
        <w:t xml:space="preserve">Table 2B</w:t>
      </w:r>
      <w:r>
        <w:t xml:space="preserve">). These results suggest that THEV infection may modulate cellular energy metabolism processes differently than other adenoviruses. Interestingly, some viruses such as HCV cause opposite metabolic effects at different times after infection</w:t>
      </w:r>
      <w:r>
        <w:t xml:space="preserve"> </w:t>
      </w:r>
      <w:r>
        <w:t xml:space="preserve">(32)</w:t>
      </w:r>
      <w:r>
        <w:t xml:space="preserve">; therefore it is possible that THEV may have similar characteristics. Also, the host interferon (IFN) antiviral response potently reverses the metabolic reprogramming (such as increased energy metabolism) imposed by the virus as a mechanism of inhibiting viral replication</w:t>
      </w:r>
      <w:r>
        <w:t xml:space="preserve"> </w:t>
      </w:r>
      <w:r>
        <w:t xml:space="preserve">(32)</w:t>
      </w:r>
      <w:r>
        <w:t xml:space="preserve">; hence, the downregulation of energy metabolic processes may be a host response to THEV.</w:t>
      </w:r>
      <w:r>
        <w:t xml:space="preserve"> </w:t>
      </w:r>
      <w:r>
        <w:rPr>
          <w:strike/>
        </w:rPr>
        <w:t xml:space="preserve">Further 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5</w:t>
      </w:r>
      <w:r>
        <w:t xml:space="preserve">, the RT-qPCR results corroborate the RNA-seq results, further reinforcing the validity of the RNA-seq transcriptomic profile results. According to our Student’s T-test and Mann-Whitney U test, the difference in gene expression levels in all the selected genes were statistically significant.</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(34)</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6"/>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t xml:space="preserve">### Quality Control and Mapping Process</w:t>
      </w:r>
    </w:p>
    <w:p>
      <w:pPr>
        <w:pStyle w:val="BodyText"/>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(35)</w:t>
      </w:r>
      <w:r>
        <w:t xml:space="preserve">, a popular workflow management system to drive the pipeline. Briefly, raw sequencing reads were trimmed with Cutadapt - version 1.10</w:t>
      </w:r>
      <w:r>
        <w:t xml:space="preserve"> </w:t>
      </w:r>
      <w:r>
        <w:t xml:space="preserve">(36)</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7">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8">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29"/>
    <w:bookmarkStart w:id="30"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(37–39)</w:t>
      </w:r>
      <w:r>
        <w:t xml:space="preserve">.</w:t>
      </w:r>
    </w:p>
    <w:bookmarkEnd w:id="30"/>
    <w:bookmarkStart w:id="32"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1">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(40)</w:t>
      </w:r>
      <w:r>
        <w:t xml:space="preserve">.</w:t>
      </w:r>
    </w:p>
    <w:bookmarkEnd w:id="32"/>
    <w:bookmarkStart w:id="33"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difference with P-value</w:t>
      </w:r>
      <w:r>
        <w:t xml:space="preserve"> </w:t>
      </w:r>
      <m:oMath>
        <m:r>
          <m:rPr>
            <m:sty m:val="p"/>
          </m:rPr>
          <m:t>≤</m:t>
        </m:r>
      </m:oMath>
      <w:r>
        <w:t xml:space="preserve"> </w:t>
      </w:r>
      <w:r>
        <w:t xml:space="preserve">0.05 was considered statistically significant.</w:t>
      </w:r>
      <w:r>
        <w:t xml:space="preserve"> </w:t>
      </w:r>
    </w:p>
    <w:bookmarkEnd w:id="33"/>
    <w:bookmarkEnd w:id="34"/>
    <w:bookmarkStart w:id="35" w:name="data-availability"/>
    <w:p>
      <w:pPr>
        <w:pStyle w:val="Heading2"/>
      </w:pPr>
      <w:r>
        <w:t xml:space="preserve">DATA AVAILABILITY</w:t>
      </w:r>
    </w:p>
    <w:p>
      <w:r>
        <w:br w:type="page"/>
      </w:r>
    </w:p>
    <w:bookmarkEnd w:id="35"/>
    <w:bookmarkStart w:id="36" w:name="code-availability"/>
    <w:p>
      <w:pPr>
        <w:pStyle w:val="Heading2"/>
      </w:pPr>
      <w:r>
        <w:t xml:space="preserve">CODE AVAILABILITY</w:t>
      </w:r>
    </w:p>
    <w:p>
      <w:r>
        <w:br w:type="page"/>
      </w:r>
    </w:p>
    <w:bookmarkEnd w:id="36"/>
    <w:bookmarkStart w:id="37" w:name="acknowledgments"/>
    <w:p>
      <w:pPr>
        <w:pStyle w:val="Heading2"/>
      </w:pPr>
      <w:r>
        <w:t xml:space="preserve">ACKNOWLEDGMENTS</w:t>
      </w:r>
    </w:p>
    <w:p>
      <w:r>
        <w:br w:type="page"/>
      </w:r>
    </w:p>
    <w:bookmarkEnd w:id="37"/>
    <w:bookmarkStart w:id="115" w:name="references"/>
    <w:p>
      <w:pPr>
        <w:pStyle w:val="Heading2"/>
      </w:pPr>
      <w:r>
        <w:t xml:space="preserve">REFERENCES</w:t>
      </w:r>
    </w:p>
    <w:p>
      <w:pPr>
        <w:pStyle w:val="FirstParagraph"/>
      </w:pPr>
    </w:p>
    <w:bookmarkStart w:id="114" w:name="refs"/>
    <w:bookmarkStart w:id="39" w:name="ref-Harrach2008"/>
    <w:p>
      <w:pPr>
        <w:pStyle w:val="Bibliography"/>
      </w:pPr>
      <w:r>
        <w:t xml:space="preserve">1.</w:t>
      </w:r>
      <w:r>
        <w:t xml:space="preserve"> </w:t>
      </w:r>
      <w:r>
        <w:t xml:space="preserve">	</w:t>
      </w:r>
      <w:r>
        <w:t xml:space="preserve">Harrach B. 2008.</w:t>
      </w:r>
      <w:r>
        <w:t xml:space="preserve"> </w:t>
      </w:r>
      <w:hyperlink r:id="rId38">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9"/>
    <w:bookmarkStart w:id="41" w:name="ref-Davison2003"/>
    <w:p>
      <w:pPr>
        <w:pStyle w:val="Bibliography"/>
      </w:pPr>
      <w:r>
        <w:t xml:space="preserve">2.</w:t>
      </w:r>
      <w:r>
        <w:t xml:space="preserve"> </w:t>
      </w:r>
      <w:r>
        <w:t xml:space="preserve">	</w:t>
      </w:r>
      <w:r>
        <w:t xml:space="preserve">Davison A, Benko M, Harrach B. 2003.</w:t>
      </w:r>
      <w:r>
        <w:t xml:space="preserve"> </w:t>
      </w:r>
      <w:hyperlink r:id="rId40">
        <w:r>
          <w:rPr>
            <w:rStyle w:val="Hyperlink"/>
          </w:rPr>
          <w:t xml:space="preserve">Genetic content and evolution of adenoviruses</w:t>
        </w:r>
      </w:hyperlink>
      <w:r>
        <w:t xml:space="preserve">. The Journal of general virology 84:2895–908.</w:t>
      </w:r>
    </w:p>
    <w:bookmarkEnd w:id="41"/>
    <w:bookmarkStart w:id="42" w:name="ref-Gross1967"/>
    <w:p>
      <w:pPr>
        <w:pStyle w:val="Bibliography"/>
      </w:pPr>
      <w:r>
        <w:t xml:space="preserve">3.</w:t>
      </w:r>
      <w:r>
        <w:t xml:space="preserve"> </w:t>
      </w:r>
      <w:r>
        <w:t xml:space="preserve">	</w:t>
      </w:r>
      <w:r>
        <w:t xml:space="preserve">Gross WB, Moore WE. 1967. Hemorrhagic enteritis of turkeys. Avian Dis 11:296–307.</w:t>
      </w:r>
    </w:p>
    <w:bookmarkEnd w:id="42"/>
    <w:bookmarkStart w:id="44" w:name="ref-Beach2006"/>
    <w:p>
      <w:pPr>
        <w:pStyle w:val="Bibliography"/>
      </w:pPr>
      <w:r>
        <w:t xml:space="preserve">4.</w:t>
      </w:r>
      <w:r>
        <w:t xml:space="preserve"> </w:t>
      </w:r>
      <w:r>
        <w:t xml:space="preserve">	</w:t>
      </w:r>
      <w:r>
        <w:t xml:space="preserve">Beach NM. 2006.</w:t>
      </w:r>
      <w:r>
        <w:t xml:space="preserve"> </w:t>
      </w:r>
      <w:hyperlink r:id="rId43">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4"/>
    <w:bookmarkStart w:id="46"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5">
        <w:r>
          <w:rPr>
            <w:rStyle w:val="Hyperlink"/>
          </w:rPr>
          <w:t xml:space="preserve">Haemorrhagic enteritis of turkeys – current knowledge</w:t>
        </w:r>
      </w:hyperlink>
      <w:r>
        <w:t xml:space="preserve">. Veterinary Quarterly 37:31–42.</w:t>
      </w:r>
    </w:p>
    <w:bookmarkEnd w:id="46"/>
    <w:bookmarkStart w:id="48"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7">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8"/>
    <w:bookmarkStart w:id="49"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9"/>
    <w:bookmarkStart w:id="51" w:name="ref-Rautenschlein2000"/>
    <w:p>
      <w:pPr>
        <w:pStyle w:val="Bibliography"/>
      </w:pPr>
      <w:r>
        <w:t xml:space="preserve">8.</w:t>
      </w:r>
      <w:r>
        <w:t xml:space="preserve"> </w:t>
      </w:r>
      <w:r>
        <w:t xml:space="preserve">	</w:t>
      </w:r>
      <w:r>
        <w:t xml:space="preserve">Rautenschlein S, Sharma JM. 2000.</w:t>
      </w:r>
      <w:r>
        <w:t xml:space="preserve"> </w:t>
      </w:r>
      <w:hyperlink r:id="rId50">
        <w:r>
          <w:rPr>
            <w:rStyle w:val="Hyperlink"/>
          </w:rPr>
          <w:t xml:space="preserve">Immunopathogenesis of haemorrhagic enteritis virus (HEV) in turkeys</w:t>
        </w:r>
      </w:hyperlink>
      <w:r>
        <w:t xml:space="preserve">. Dev Comp Immunol 24:237–46.</w:t>
      </w:r>
    </w:p>
    <w:bookmarkEnd w:id="51"/>
    <w:bookmarkStart w:id="52"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2"/>
    <w:bookmarkStart w:id="54"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3">
        <w:r>
          <w:rPr>
            <w:rStyle w:val="Hyperlink"/>
          </w:rPr>
          <w:t xml:space="preserve">Persistent infection of turkeys with an avirulent strain of turkey hemorrhagic enteritis virus</w:t>
        </w:r>
      </w:hyperlink>
      <w:r>
        <w:t xml:space="preserve">. Avian Diseases 53:370–375.</w:t>
      </w:r>
    </w:p>
    <w:bookmarkEnd w:id="54"/>
    <w:bookmarkStart w:id="56" w:name="ref-Rautenschlein2000b"/>
    <w:p>
      <w:pPr>
        <w:pStyle w:val="Bibliography"/>
      </w:pPr>
      <w:r>
        <w:t xml:space="preserve">11.</w:t>
      </w:r>
      <w:r>
        <w:t xml:space="preserve"> </w:t>
      </w:r>
      <w:r>
        <w:t xml:space="preserve">	</w:t>
      </w:r>
      <w:r>
        <w:t xml:space="preserve">Rautenschlein S, Suresh M, Sharma JM. 2000.</w:t>
      </w:r>
      <w:r>
        <w:t xml:space="preserve"> </w:t>
      </w:r>
      <w:hyperlink r:id="rId55">
        <w:r>
          <w:rPr>
            <w:rStyle w:val="Hyperlink"/>
          </w:rPr>
          <w:t xml:space="preserve">Pathogenic avian adenovirus type II induces apoptosis in turkey spleen cells</w:t>
        </w:r>
      </w:hyperlink>
      <w:r>
        <w:t xml:space="preserve">. Archives of Virology 145:1671–1683.</w:t>
      </w:r>
    </w:p>
    <w:bookmarkEnd w:id="56"/>
    <w:bookmarkStart w:id="58"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7">
        <w:r>
          <w:rPr>
            <w:rStyle w:val="Hyperlink"/>
          </w:rPr>
          <w:t xml:space="preserve">Next-generation sequencing technology: Current trends and advancements</w:t>
        </w:r>
      </w:hyperlink>
      <w:r>
        <w:t xml:space="preserve">. Biology 12:997.</w:t>
      </w:r>
    </w:p>
    <w:bookmarkEnd w:id="58"/>
    <w:bookmarkStart w:id="60" w:name="ref-Pandey2023"/>
    <w:p>
      <w:pPr>
        <w:pStyle w:val="Bibliography"/>
      </w:pPr>
      <w:r>
        <w:t xml:space="preserve">13.</w:t>
      </w:r>
      <w:r>
        <w:t xml:space="preserve"> </w:t>
      </w:r>
      <w:r>
        <w:t xml:space="preserve">	</w:t>
      </w:r>
      <w:r>
        <w:t xml:space="preserve">Pandey D, Onkara Perumal P. 2023.</w:t>
      </w:r>
      <w:r>
        <w:t xml:space="preserve"> </w:t>
      </w:r>
      <w:hyperlink r:id="rId59">
        <w:r>
          <w:rPr>
            <w:rStyle w:val="Hyperlink"/>
          </w:rPr>
          <w:t xml:space="preserve">A scoping review on deep learning for next-generation RNA-seq. Data analysis</w:t>
        </w:r>
      </w:hyperlink>
      <w:r>
        <w:t xml:space="preserve">. Functional &amp;amp; Integrative Genomics 23.</w:t>
      </w:r>
    </w:p>
    <w:bookmarkEnd w:id="60"/>
    <w:bookmarkStart w:id="62" w:name="ref-Wang2019"/>
    <w:p>
      <w:pPr>
        <w:pStyle w:val="Bibliography"/>
      </w:pPr>
      <w:r>
        <w:t xml:space="preserve">14.</w:t>
      </w:r>
      <w:r>
        <w:t xml:space="preserve"> </w:t>
      </w:r>
      <w:r>
        <w:t xml:space="preserve">	</w:t>
      </w:r>
      <w:r>
        <w:t xml:space="preserve">Wang B, Kumar V, Olson A, Ware D. 2019.</w:t>
      </w:r>
      <w:r>
        <w:t xml:space="preserve"> </w:t>
      </w:r>
      <w:hyperlink r:id="rId61">
        <w:r>
          <w:rPr>
            <w:rStyle w:val="Hyperlink"/>
          </w:rPr>
          <w:t xml:space="preserve">Reviving the transcriptome studies: An insight into the emergence of single-molecule transcriptome sequencing</w:t>
        </w:r>
      </w:hyperlink>
      <w:r>
        <w:t xml:space="preserve">. Frontiers in Genetics 10.</w:t>
      </w:r>
    </w:p>
    <w:bookmarkEnd w:id="62"/>
    <w:bookmarkStart w:id="64" w:name="ref-Choi2016"/>
    <w:p>
      <w:pPr>
        <w:pStyle w:val="Bibliography"/>
      </w:pPr>
      <w:r>
        <w:t xml:space="preserve">15.</w:t>
      </w:r>
      <w:r>
        <w:t xml:space="preserve"> </w:t>
      </w:r>
      <w:r>
        <w:t xml:space="preserve">	</w:t>
      </w:r>
      <w:r>
        <w:t xml:space="preserve">Choi SC. 2016.</w:t>
      </w:r>
      <w:r>
        <w:t xml:space="preserve"> </w:t>
      </w:r>
      <w:hyperlink r:id="rId63">
        <w:r>
          <w:rPr>
            <w:rStyle w:val="Hyperlink"/>
          </w:rPr>
          <w:t xml:space="preserve">On the study of microbial transcriptomes using second- and third-generation sequencing technologies</w:t>
        </w:r>
      </w:hyperlink>
      <w:r>
        <w:t xml:space="preserve">. Journal of Microbiology 54:527–536.</w:t>
      </w:r>
    </w:p>
    <w:bookmarkEnd w:id="64"/>
    <w:bookmarkStart w:id="66"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5">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6"/>
    <w:bookmarkStart w:id="68"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7">
        <w:r>
          <w:rPr>
            <w:rStyle w:val="Hyperlink"/>
          </w:rPr>
          <w:t xml:space="preserve">Gene ontology: Tool for the unification of biology</w:t>
        </w:r>
      </w:hyperlink>
      <w:r>
        <w:t xml:space="preserve">. Nature Genetics 25:25–29.</w:t>
      </w:r>
    </w:p>
    <w:bookmarkEnd w:id="68"/>
    <w:bookmarkStart w:id="70" w:name="ref-Kanehisa2000"/>
    <w:p>
      <w:pPr>
        <w:pStyle w:val="Bibliography"/>
      </w:pPr>
      <w:r>
        <w:t xml:space="preserve">18.</w:t>
      </w:r>
      <w:r>
        <w:t xml:space="preserve"> </w:t>
      </w:r>
      <w:r>
        <w:t xml:space="preserve">	</w:t>
      </w:r>
      <w:r>
        <w:t xml:space="preserve">Kanehisa M. 2000.</w:t>
      </w:r>
      <w:r>
        <w:t xml:space="preserve"> </w:t>
      </w:r>
      <w:hyperlink r:id="rId69">
        <w:r>
          <w:rPr>
            <w:rStyle w:val="Hyperlink"/>
          </w:rPr>
          <w:t xml:space="preserve">KEGG: Kyoto encyclopedia of genes and genomes</w:t>
        </w:r>
      </w:hyperlink>
      <w:r>
        <w:t xml:space="preserve">. Nucleic Acids Research 28:27–30.</w:t>
      </w:r>
    </w:p>
    <w:bookmarkEnd w:id="70"/>
    <w:bookmarkStart w:id="72" w:name="ref-Pertea2016"/>
    <w:p>
      <w:pPr>
        <w:pStyle w:val="Bibliography"/>
      </w:pPr>
      <w:r>
        <w:t xml:space="preserve">19.</w:t>
      </w:r>
      <w:r>
        <w:t xml:space="preserve"> </w:t>
      </w:r>
      <w:r>
        <w:t xml:space="preserve">	</w:t>
      </w:r>
      <w:r>
        <w:t xml:space="preserve">Pertea M, Kim D, Pertea GM, Leek JT, Salzberg SL. 2016.</w:t>
      </w:r>
      <w:r>
        <w:t xml:space="preserve"> </w:t>
      </w:r>
      <w:hyperlink r:id="rId71">
        <w:r>
          <w:rPr>
            <w:rStyle w:val="Hyperlink"/>
          </w:rPr>
          <w:t xml:space="preserve">Transcript-level expression analysis of RNA-seq experiments with HISAT, StringTie and ballgown</w:t>
        </w:r>
      </w:hyperlink>
      <w:r>
        <w:t xml:space="preserve">. Nature Protocols 11:1650–1667.</w:t>
      </w:r>
    </w:p>
    <w:bookmarkEnd w:id="72"/>
    <w:bookmarkStart w:id="74" w:name="ref-Deseq2"/>
    <w:p>
      <w:pPr>
        <w:pStyle w:val="Bibliography"/>
      </w:pPr>
      <w:r>
        <w:t xml:space="preserve">20.</w:t>
      </w:r>
      <w:r>
        <w:t xml:space="preserve"> </w:t>
      </w:r>
      <w:r>
        <w:t xml:space="preserve">	</w:t>
      </w:r>
      <w:r>
        <w:t xml:space="preserve">Love MI, Huber W, Anders S. 2014.</w:t>
      </w:r>
      <w:r>
        <w:t xml:space="preserve"> </w:t>
      </w:r>
      <w:hyperlink r:id="rId73">
        <w:r>
          <w:rPr>
            <w:rStyle w:val="Hyperlink"/>
          </w:rPr>
          <w:t xml:space="preserve">Moderated estimation of fold change and dispersion for RNA-seq data with DESeq2</w:t>
        </w:r>
      </w:hyperlink>
      <w:r>
        <w:t xml:space="preserve">. Genome Biology 15:550.</w:t>
      </w:r>
    </w:p>
    <w:bookmarkEnd w:id="74"/>
    <w:bookmarkStart w:id="76"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5">
        <w:r>
          <w:rPr>
            <w:rStyle w:val="Hyperlink"/>
          </w:rPr>
          <w:t xml:space="preserve">DAVID: A web server for functional enrichment analysis and functional annotation of gene lists (2021 update)</w:t>
        </w:r>
      </w:hyperlink>
      <w:r>
        <w:t xml:space="preserve">. Nucleic Acids Research 50:W216–W221.</w:t>
      </w:r>
    </w:p>
    <w:bookmarkEnd w:id="76"/>
    <w:bookmarkStart w:id="77"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7"/>
    <w:bookmarkStart w:id="79" w:name="ref-Saunders1993"/>
    <w:p>
      <w:pPr>
        <w:pStyle w:val="Bibliography"/>
      </w:pPr>
      <w:r>
        <w:t xml:space="preserve">23.</w:t>
      </w:r>
      <w:r>
        <w:t xml:space="preserve"> </w:t>
      </w:r>
      <w:r>
        <w:t xml:space="preserve">	</w:t>
      </w:r>
      <w:r>
        <w:t xml:space="preserve">Saunders GK, Pierson FW, Hurk JV van den. 1993.</w:t>
      </w:r>
      <w:r>
        <w:t xml:space="preserve"> </w:t>
      </w:r>
      <w:hyperlink r:id="rId78">
        <w:r>
          <w:rPr>
            <w:rStyle w:val="Hyperlink"/>
          </w:rPr>
          <w:t xml:space="preserve">Haemorhagic enteritis virus infection in turkeys: A comparison of virulent and avirulent virus infections, and a proposed pathogenesis</w:t>
        </w:r>
      </w:hyperlink>
      <w:r>
        <w:t xml:space="preserve">. Avian Pathology 22:47–58.</w:t>
      </w:r>
    </w:p>
    <w:bookmarkEnd w:id="79"/>
    <w:bookmarkStart w:id="81" w:name="ref-Barber2001"/>
    <w:p>
      <w:pPr>
        <w:pStyle w:val="Bibliography"/>
      </w:pPr>
      <w:r>
        <w:t xml:space="preserve">24.</w:t>
      </w:r>
      <w:r>
        <w:t xml:space="preserve"> </w:t>
      </w:r>
      <w:r>
        <w:t xml:space="preserve">	</w:t>
      </w:r>
      <w:r>
        <w:t xml:space="preserve">Barber GN. 2001.</w:t>
      </w:r>
      <w:r>
        <w:t xml:space="preserve"> </w:t>
      </w:r>
      <w:hyperlink r:id="rId80">
        <w:r>
          <w:rPr>
            <w:rStyle w:val="Hyperlink"/>
          </w:rPr>
          <w:t xml:space="preserve">Host defense, viruses and apoptosis</w:t>
        </w:r>
      </w:hyperlink>
      <w:r>
        <w:t xml:space="preserve">. Cell Death &amp;amp; Differentiation 8:113–126.</w:t>
      </w:r>
    </w:p>
    <w:bookmarkEnd w:id="81"/>
    <w:bookmarkStart w:id="83" w:name="ref-Hardwick1997"/>
    <w:p>
      <w:pPr>
        <w:pStyle w:val="Bibliography"/>
      </w:pPr>
      <w:r>
        <w:t xml:space="preserve">25.</w:t>
      </w:r>
      <w:r>
        <w:t xml:space="preserve"> </w:t>
      </w:r>
      <w:r>
        <w:t xml:space="preserve">	</w:t>
      </w:r>
      <w:r>
        <w:t xml:space="preserve">Hardwick JM. 1997.</w:t>
      </w:r>
      <w:r>
        <w:t xml:space="preserve"> </w:t>
      </w:r>
      <w:hyperlink r:id="rId82">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3"/>
    <w:bookmarkStart w:id="85"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4">
        <w:r>
          <w:rPr>
            <w:rStyle w:val="Hyperlink"/>
          </w:rPr>
          <w:t xml:space="preserve">Viral-mediated activation and inhibition of programmed cell death</w:t>
        </w:r>
      </w:hyperlink>
      <w:r>
        <w:t xml:space="preserve">. PLOS Pathogens 18:e1010718.</w:t>
      </w:r>
    </w:p>
    <w:bookmarkEnd w:id="85"/>
    <w:bookmarkStart w:id="87" w:name="ref-Ezoe1981"/>
    <w:p>
      <w:pPr>
        <w:pStyle w:val="Bibliography"/>
      </w:pPr>
      <w:r>
        <w:t xml:space="preserve">27.</w:t>
      </w:r>
      <w:r>
        <w:t xml:space="preserve"> </w:t>
      </w:r>
      <w:r>
        <w:t xml:space="preserve">	</w:t>
      </w:r>
      <w:r>
        <w:t xml:space="preserve">Ezoe H, Fatt RB, Mak S. 1981.</w:t>
      </w:r>
      <w:r>
        <w:t xml:space="preserve"> </w:t>
      </w:r>
      <w:hyperlink r:id="rId86">
        <w:r>
          <w:rPr>
            <w:rStyle w:val="Hyperlink"/>
          </w:rPr>
          <w:t xml:space="preserve">Degradation of intracellular DNA in KB cells infected with cyt mutants of human adenovirus type 12</w:t>
        </w:r>
      </w:hyperlink>
      <w:r>
        <w:t xml:space="preserve">. Journal of Virology 40:20–27.</w:t>
      </w:r>
    </w:p>
    <w:bookmarkEnd w:id="87"/>
    <w:bookmarkStart w:id="89" w:name="ref-Quaye2024"/>
    <w:p>
      <w:pPr>
        <w:pStyle w:val="Bibliography"/>
      </w:pPr>
      <w:r>
        <w:t xml:space="preserve">28.</w:t>
      </w:r>
      <w:r>
        <w:t xml:space="preserve"> </w:t>
      </w:r>
      <w:r>
        <w:t xml:space="preserve">	</w:t>
      </w:r>
      <w:r>
        <w:t xml:space="preserve">Quaye A, Pickett BE, Griffitts JS, Berges BK, Poole BD. 2024.</w:t>
      </w:r>
      <w:r>
        <w:t xml:space="preserve"> </w:t>
      </w:r>
      <w:hyperlink r:id="rId88">
        <w:r>
          <w:rPr>
            <w:rStyle w:val="Hyperlink"/>
          </w:rPr>
          <w:t xml:space="preserve">Characterizing the splice map of turkey hemorrhagic enteritis virus</w:t>
        </w:r>
      </w:hyperlink>
      <w:r>
        <w:t xml:space="preserve">. Virology Journal 21.</w:t>
      </w:r>
    </w:p>
    <w:bookmarkEnd w:id="89"/>
    <w:bookmarkStart w:id="91" w:name="ref-Roos2006"/>
    <w:p>
      <w:pPr>
        <w:pStyle w:val="Bibliography"/>
      </w:pPr>
      <w:r>
        <w:t xml:space="preserve">29.</w:t>
      </w:r>
      <w:r>
        <w:t xml:space="preserve"> </w:t>
      </w:r>
      <w:r>
        <w:t xml:space="preserve">	</w:t>
      </w:r>
      <w:r>
        <w:t xml:space="preserve">Roos WP, Kaina B. 2006.</w:t>
      </w:r>
      <w:r>
        <w:t xml:space="preserve"> </w:t>
      </w:r>
      <w:hyperlink r:id="rId90">
        <w:r>
          <w:rPr>
            <w:rStyle w:val="Hyperlink"/>
          </w:rPr>
          <w:t xml:space="preserve">DNA damage-induced cell death by apoptosis</w:t>
        </w:r>
      </w:hyperlink>
      <w:r>
        <w:t xml:space="preserve">. Trends in Molecular Medicine 12:440–450.</w:t>
      </w:r>
    </w:p>
    <w:bookmarkEnd w:id="91"/>
    <w:bookmarkStart w:id="93" w:name="ref-Martin1993"/>
    <w:p>
      <w:pPr>
        <w:pStyle w:val="Bibliography"/>
      </w:pPr>
      <w:r>
        <w:t xml:space="preserve">30.</w:t>
      </w:r>
      <w:r>
        <w:t xml:space="preserve"> </w:t>
      </w:r>
      <w:r>
        <w:t xml:space="preserve">	</w:t>
      </w:r>
      <w:r>
        <w:t xml:space="preserve">Martin SJ. 1993.</w:t>
      </w:r>
      <w:r>
        <w:t xml:space="preserve"> </w:t>
      </w:r>
      <w:hyperlink r:id="rId92">
        <w:r>
          <w:rPr>
            <w:rStyle w:val="Hyperlink"/>
          </w:rPr>
          <w:t xml:space="preserve">Protein or RNA synthesis inhibition induces apoptosis of mature human CD4+ t cell blasts</w:t>
        </w:r>
      </w:hyperlink>
      <w:r>
        <w:t xml:space="preserve">. Immunology Letters 35:125–134.</w:t>
      </w:r>
    </w:p>
    <w:bookmarkEnd w:id="93"/>
    <w:bookmarkStart w:id="95" w:name="ref-Christianson2022"/>
    <w:p>
      <w:pPr>
        <w:pStyle w:val="Bibliography"/>
      </w:pPr>
      <w:r>
        <w:t xml:space="preserve">31.</w:t>
      </w:r>
      <w:r>
        <w:t xml:space="preserve"> </w:t>
      </w:r>
      <w:r>
        <w:t xml:space="preserve">	</w:t>
      </w:r>
      <w:r>
        <w:t xml:space="preserve">Christianson JC, Carvalho P. 2022.</w:t>
      </w:r>
      <w:r>
        <w:t xml:space="preserve"> </w:t>
      </w:r>
      <w:hyperlink r:id="rId94">
        <w:r>
          <w:rPr>
            <w:rStyle w:val="Hyperlink"/>
          </w:rPr>
          <w:t xml:space="preserve">Order through destruction: How ER‐associated protein degradation contributes to organelle homeostasis</w:t>
        </w:r>
      </w:hyperlink>
      <w:r>
        <w:t xml:space="preserve">. The EMBO Journal 41.</w:t>
      </w:r>
    </w:p>
    <w:bookmarkEnd w:id="95"/>
    <w:bookmarkStart w:id="97" w:name="ref-Sumbria2021"/>
    <w:p>
      <w:pPr>
        <w:pStyle w:val="Bibliography"/>
      </w:pPr>
      <w:r>
        <w:t xml:space="preserve">32.</w:t>
      </w:r>
      <w:r>
        <w:t xml:space="preserve"> </w:t>
      </w:r>
      <w:r>
        <w:t xml:space="preserve">	</w:t>
      </w:r>
      <w:r>
        <w:t xml:space="preserve">Sumbria D, Berber E, Mathayan M, Rouse BT. 2021.</w:t>
      </w:r>
      <w:r>
        <w:t xml:space="preserve"> </w:t>
      </w:r>
      <w:hyperlink r:id="rId96">
        <w:r>
          <w:rPr>
            <w:rStyle w:val="Hyperlink"/>
          </w:rPr>
          <w:t xml:space="preserve">Virus infections and host metabolism—can we manage the interactions?</w:t>
        </w:r>
      </w:hyperlink>
      <w:r>
        <w:t xml:space="preserve"> Frontiers in Immunology 11.</w:t>
      </w:r>
    </w:p>
    <w:bookmarkEnd w:id="97"/>
    <w:bookmarkStart w:id="99" w:name="ref-Thai2014"/>
    <w:p>
      <w:pPr>
        <w:pStyle w:val="Bibliography"/>
      </w:pPr>
      <w:r>
        <w:t xml:space="preserve">33.</w:t>
      </w:r>
      <w:r>
        <w:t xml:space="preserve"> </w:t>
      </w:r>
      <w:r>
        <w:t xml:space="preserve">	</w:t>
      </w:r>
      <w:r>
        <w:t xml:space="preserve">Thai M, Graham NA, Braas D, Nehil M, Komisopoulou E, Kurdistani SK, McCormick F, Graeber TG, Christofk HR. 2014.</w:t>
      </w:r>
      <w:r>
        <w:t xml:space="preserve"> </w:t>
      </w:r>
      <w:hyperlink r:id="rId98">
        <w:r>
          <w:rPr>
            <w:rStyle w:val="Hyperlink"/>
          </w:rPr>
          <w:t xml:space="preserve">Adenovirus E4ORF1-induced MYC activation promotes host cell anabolic glucose metabolism and virus replication</w:t>
        </w:r>
      </w:hyperlink>
      <w:r>
        <w:t xml:space="preserve">. Cell Metabolism 19:694–701.</w:t>
      </w:r>
    </w:p>
    <w:bookmarkEnd w:id="99"/>
    <w:bookmarkStart w:id="101" w:name="ref-Mahsoub2017"/>
    <w:p>
      <w:pPr>
        <w:pStyle w:val="Bibliography"/>
      </w:pPr>
      <w:r>
        <w:t xml:space="preserve">34.</w:t>
      </w:r>
      <w:r>
        <w:t xml:space="preserve"> </w:t>
      </w:r>
      <w:r>
        <w:t xml:space="preserve">	</w:t>
      </w:r>
      <w:r>
        <w:t xml:space="preserve">Mahsoub HM, Evans NP, Beach NM, Yuan L, Zimmerman K, Pierson FW. 2017.</w:t>
      </w:r>
      <w:r>
        <w:t xml:space="preserve"> </w:t>
      </w:r>
      <w:hyperlink r:id="rId100">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01"/>
    <w:bookmarkStart w:id="103" w:name="ref-Snakemake2021"/>
    <w:p>
      <w:pPr>
        <w:pStyle w:val="Bibliography"/>
      </w:pPr>
      <w:r>
        <w:t xml:space="preserve">35.</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02">
        <w:r>
          <w:rPr>
            <w:rStyle w:val="Hyperlink"/>
          </w:rPr>
          <w:t xml:space="preserve">Sustainable data analysis with snakemake</w:t>
        </w:r>
      </w:hyperlink>
      <w:r>
        <w:t xml:space="preserve">. F1000Research 10:33.</w:t>
      </w:r>
    </w:p>
    <w:bookmarkEnd w:id="103"/>
    <w:bookmarkStart w:id="105" w:name="ref-Martin2011"/>
    <w:p>
      <w:pPr>
        <w:pStyle w:val="Bibliography"/>
      </w:pPr>
      <w:r>
        <w:t xml:space="preserve">36.</w:t>
      </w:r>
      <w:r>
        <w:t xml:space="preserve"> </w:t>
      </w:r>
      <w:r>
        <w:t xml:space="preserve">	</w:t>
      </w:r>
      <w:r>
        <w:t xml:space="preserve">Martin M. 2011.</w:t>
      </w:r>
      <w:r>
        <w:t xml:space="preserve"> </w:t>
      </w:r>
      <w:hyperlink r:id="rId104">
        <w:r>
          <w:rPr>
            <w:rStyle w:val="Hyperlink"/>
          </w:rPr>
          <w:t xml:space="preserve">Cutadapt removes adapter sequences from high-throughput sequencing reads</w:t>
        </w:r>
      </w:hyperlink>
      <w:r>
        <w:t xml:space="preserve">. EMBnetjournal 17:10.</w:t>
      </w:r>
    </w:p>
    <w:bookmarkEnd w:id="105"/>
    <w:bookmarkStart w:id="107" w:name="ref-ggplot2"/>
    <w:p>
      <w:pPr>
        <w:pStyle w:val="Bibliography"/>
      </w:pPr>
      <w:r>
        <w:t xml:space="preserve">37.</w:t>
      </w:r>
      <w:r>
        <w:t xml:space="preserve"> </w:t>
      </w:r>
      <w:r>
        <w:t xml:space="preserve">	</w:t>
      </w:r>
      <w:r>
        <w:t xml:space="preserve">Wickham H. 2016. ggplot2: Elegant graphics for data analysis. Springer-Verlag New York.</w:t>
      </w:r>
      <w:r>
        <w:t xml:space="preserve"> </w:t>
      </w:r>
      <w:hyperlink r:id="rId106">
        <w:r>
          <w:rPr>
            <w:rStyle w:val="Hyperlink"/>
          </w:rPr>
          <w:t xml:space="preserve">https://ggplot2.tidyverse.org</w:t>
        </w:r>
      </w:hyperlink>
      <w:r>
        <w:t xml:space="preserve">.</w:t>
      </w:r>
    </w:p>
    <w:bookmarkEnd w:id="107"/>
    <w:bookmarkStart w:id="109" w:name="ref-pheatmap"/>
    <w:p>
      <w:pPr>
        <w:pStyle w:val="Bibliography"/>
      </w:pPr>
      <w:r>
        <w:t xml:space="preserve">38.</w:t>
      </w:r>
      <w:r>
        <w:t xml:space="preserve"> </w:t>
      </w:r>
      <w:r>
        <w:t xml:space="preserve">	</w:t>
      </w:r>
      <w:r>
        <w:t xml:space="preserve">Kolde R. 2019. Pheatmap: Pretty heatmaps.</w:t>
      </w:r>
      <w:r>
        <w:t xml:space="preserve"> </w:t>
      </w:r>
      <w:hyperlink r:id="rId108">
        <w:r>
          <w:rPr>
            <w:rStyle w:val="Hyperlink"/>
          </w:rPr>
          <w:t xml:space="preserve">https://CRAN.R-project.org/package=pheatmap</w:t>
        </w:r>
      </w:hyperlink>
      <w:r>
        <w:t xml:space="preserve">.</w:t>
      </w:r>
    </w:p>
    <w:bookmarkEnd w:id="109"/>
    <w:bookmarkStart w:id="111" w:name="ref-ggvenn"/>
    <w:p>
      <w:pPr>
        <w:pStyle w:val="Bibliography"/>
      </w:pPr>
      <w:r>
        <w:t xml:space="preserve">39.</w:t>
      </w:r>
      <w:r>
        <w:t xml:space="preserve"> </w:t>
      </w:r>
      <w:r>
        <w:t xml:space="preserve">	</w:t>
      </w:r>
      <w:r>
        <w:t xml:space="preserve">Yan L. 2023. Ggvenn: Draw venn diagram by ’ggplot2’.</w:t>
      </w:r>
      <w:r>
        <w:t xml:space="preserve"> </w:t>
      </w:r>
      <w:hyperlink r:id="rId110">
        <w:r>
          <w:rPr>
            <w:rStyle w:val="Hyperlink"/>
          </w:rPr>
          <w:t xml:space="preserve">https://CRAN.R-project.org/package=ggvenn</w:t>
        </w:r>
      </w:hyperlink>
      <w:r>
        <w:t xml:space="preserve">.</w:t>
      </w:r>
    </w:p>
    <w:bookmarkEnd w:id="111"/>
    <w:bookmarkStart w:id="113" w:name="ref-Livak2001"/>
    <w:p>
      <w:pPr>
        <w:pStyle w:val="Bibliography"/>
      </w:pPr>
      <w:r>
        <w:t xml:space="preserve">40.</w:t>
      </w:r>
      <w:r>
        <w:t xml:space="preserve"> </w:t>
      </w:r>
      <w:r>
        <w:t xml:space="preserve">	</w:t>
      </w:r>
      <w:hyperlink r:id="rId112">
        <w:r>
          <w:rPr>
            <w:rStyle w:val="Hyperlink"/>
          </w:rPr>
          <w:t xml:space="preserve">Livak KJ, Schmittgen TD. 2001.. Methods 25:402–408</w:t>
        </w:r>
      </w:hyperlink>
      <w:r>
        <w:t xml:space="preserve">.</w:t>
      </w:r>
    </w:p>
    <w:bookmarkEnd w:id="113"/>
    <w:bookmarkEnd w:id="114"/>
    <w:p>
      <w:r>
        <w:br w:type="page"/>
      </w:r>
    </w:p>
    <w:bookmarkEnd w:id="115"/>
    <w:bookmarkStart w:id="131"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1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1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2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2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953000"/>
            <wp:effectExtent b="0" l="0" r="0" t="0"/>
            <wp:docPr descr="Figure 5: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title="" id="9" name="Picture"/>
            <a:graphic>
              <a:graphicData uri="http://schemas.openxmlformats.org/drawingml/2006/picture">
                <pic:pic>
                  <pic:nvPicPr>
                    <pic:cNvPr descr="results/r/figures/qpcr_validation.png" id="10" name="Picture"/>
                    <pic:cNvPicPr>
                      <a:picLocks noChangeArrowheads="1" noChangeAspect="1"/>
                    </pic:cNvPicPr>
                  </pic:nvPicPr>
                  <pic:blipFill>
                    <a:blip r:embed="rId128"/>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5: Validation of representative DEGs involved in Apoptosis, Protein synthesis, and ER-stress responses by RT-qPCR</w:t>
      </w:r>
      <w:r>
        <w:t xml:space="preserve">. MDTC-RP19 cells infected with THEV or mock infected were subjected to RT-qPCR analysis for the relative expression of the indicated DEGs at 24hpi. GAPDH was used as the internal control. Data are expressed as the mean</w:t>
      </w:r>
      <w:r>
        <w:t xml:space="preserve"> </w:t>
      </w:r>
      <m:oMath>
        <m:r>
          <m:rPr>
            <m:sty m:val="p"/>
          </m:rPr>
          <m:t>±</m:t>
        </m:r>
      </m:oMath>
      <w:r>
        <w:t xml:space="preserve"> </w:t>
      </w:r>
      <w:r>
        <w:t xml:space="preserve">SD. All genes are statistically differentially expressed based on Student’s t-test and Mann-Whitney U test.</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exact"/>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exact"/>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exact"/>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exact"/>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exact"/>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exact"/>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exact"/>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31"/>
    <w:bookmarkStart w:id="132" w:name="supplementary-informationmaterials"/>
    <w:p>
      <w:pPr>
        <w:pStyle w:val="Heading2"/>
      </w:pPr>
      <w:r>
        <w:t xml:space="preserve">SUPPLEMENTARY INFORMATION/MATERIALS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bookmarkEnd w:id="132"/>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16" Type="http://schemas.openxmlformats.org/officeDocument/2006/relationships/image" Target="media/rId116.png"/>
<Relationship Id="rId122" Type="http://schemas.openxmlformats.org/officeDocument/2006/relationships/image" Target="media/rId122.png"/>
<Relationship Id="rId125" Type="http://schemas.openxmlformats.org/officeDocument/2006/relationships/image" Target="media/rId125.png"/>
<Relationship Id="rId128" Type="http://schemas.openxmlformats.org/officeDocument/2006/relationships/image" Target="media/rId128.png"/>
<Relationship Id="rId119" Type="http://schemas.openxmlformats.org/officeDocument/2006/relationships/image" Target="media/rId119.png"/>
<Relationship Id="rId43" Type="http://schemas.openxmlformats.org/officeDocument/2006/relationships/hyperlink" Target="http://scholar.lib.vt.edu/theses/available/etd-08142006-145339/" TargetMode="External"/>
<Relationship Id="rId110" Type="http://schemas.openxmlformats.org/officeDocument/2006/relationships/hyperlink" Target="https://CRAN.R-project.org/package=ggvenn" TargetMode="External"/>
<Relationship Id="rId108" Type="http://schemas.openxmlformats.org/officeDocument/2006/relationships/hyperlink" Target="https://CRAN.R-project.org/package=pheatmap" TargetMode="External"/>
<Relationship Id="rId31" Type="http://schemas.openxmlformats.org/officeDocument/2006/relationships/hyperlink" Target="https://blast.ncbi.nlm.nih.gov/Blast.cgi?PROGRAM=blastn" TargetMode="External"/>
<Relationship Id="rId112" Type="http://schemas.openxmlformats.org/officeDocument/2006/relationships/hyperlink" Target="https://doi.org/10.1006/meth.2001.1262" TargetMode="External"/>
<Relationship Id="rId55" Type="http://schemas.openxmlformats.org/officeDocument/2006/relationships/hyperlink" Target="https://doi.org/10.1007/s007050070083" TargetMode="External"/>
<Relationship Id="rId59" Type="http://schemas.openxmlformats.org/officeDocument/2006/relationships/hyperlink" Target="https://doi.org/10.1007/s10142-023-01064-6" TargetMode="External"/>
<Relationship Id="rId63" Type="http://schemas.openxmlformats.org/officeDocument/2006/relationships/hyperlink" Target="https://doi.org/10.1007/s12275-016-6233-2" TargetMode="External"/>
<Relationship Id="rId92" Type="http://schemas.openxmlformats.org/officeDocument/2006/relationships/hyperlink" Target="https://doi.org/10.1016/0165-2478(93)90080-l" TargetMode="External"/>
<Relationship Id="rId38" Type="http://schemas.openxmlformats.org/officeDocument/2006/relationships/hyperlink" Target="https://doi.org/10.1016/B978-012374410-4.00680-4" TargetMode="External"/>
<Relationship Id="rId98" Type="http://schemas.openxmlformats.org/officeDocument/2006/relationships/hyperlink" Target="https://doi.org/10.1016/j.cmet.2014.03.009" TargetMode="External"/>
<Relationship Id="rId100" Type="http://schemas.openxmlformats.org/officeDocument/2006/relationships/hyperlink" Target="https://doi.org/10.1016/j.jviromet.2016.11.002" TargetMode="External"/>
<Relationship Id="rId90" Type="http://schemas.openxmlformats.org/officeDocument/2006/relationships/hyperlink" Target="https://doi.org/10.1016/j.molmed.2006.07.007" TargetMode="External"/>
<Relationship Id="rId65" Type="http://schemas.openxmlformats.org/officeDocument/2006/relationships/hyperlink" Target="https://doi.org/10.1016/j.virs.2022.09.002" TargetMode="External"/>
<Relationship Id="rId50" Type="http://schemas.openxmlformats.org/officeDocument/2006/relationships/hyperlink" Target="https://doi.org/10.1016/s0145-305x(99)00075-0" TargetMode="External"/>
<Relationship Id="rId82" Type="http://schemas.openxmlformats.org/officeDocument/2006/relationships/hyperlink" Target="https://doi.org/10.1016/s1054-3589(08)61063-7" TargetMode="External"/>
<Relationship Id="rId67" Type="http://schemas.openxmlformats.org/officeDocument/2006/relationships/hyperlink" Target="https://doi.org/10.1038/75556" TargetMode="External"/>
<Relationship Id="rId71" Type="http://schemas.openxmlformats.org/officeDocument/2006/relationships/hyperlink" Target="https://doi.org/10.1038/nprot.2016.095" TargetMode="External"/>
<Relationship Id="rId80" Type="http://schemas.openxmlformats.org/officeDocument/2006/relationships/hyperlink" Target="https://doi.org/10.1038/sj.cdd.4400823" TargetMode="External"/>
<Relationship Id="rId45" Type="http://schemas.openxmlformats.org/officeDocument/2006/relationships/hyperlink" Target="https://doi.org/10.1080/01652176.2016.1277281" TargetMode="External"/>
<Relationship Id="rId78" Type="http://schemas.openxmlformats.org/officeDocument/2006/relationships/hyperlink" Target="https://doi.org/10.1080/03079459308418899" TargetMode="External"/>
<Relationship Id="rId69" Type="http://schemas.openxmlformats.org/officeDocument/2006/relationships/hyperlink" Target="https://doi.org/10.1093/nar/28.1.27" TargetMode="External"/>
<Relationship Id="rId75" Type="http://schemas.openxmlformats.org/officeDocument/2006/relationships/hyperlink" Target="https://doi.org/10.1093/nar/gkac194" TargetMode="External"/>
<Relationship Id="rId40" Type="http://schemas.openxmlformats.org/officeDocument/2006/relationships/hyperlink" Target="https://doi.org/10.1099/vir.0.19497-0" TargetMode="External"/>
<Relationship Id="rId86" Type="http://schemas.openxmlformats.org/officeDocument/2006/relationships/hyperlink" Target="https://doi.org/10.1128/jvi.40.1.20-27.1981" TargetMode="External"/>
<Relationship Id="rId47" Type="http://schemas.openxmlformats.org/officeDocument/2006/relationships/hyperlink" Target="https://doi.org/10.1186/s12917-019-2138-8" TargetMode="External"/>
<Relationship Id="rId88" Type="http://schemas.openxmlformats.org/officeDocument/2006/relationships/hyperlink" Target="https://doi.org/10.1186/s12985-024-02449-0" TargetMode="External"/>
<Relationship Id="rId73" Type="http://schemas.openxmlformats.org/officeDocument/2006/relationships/hyperlink" Target="https://doi.org/10.1186/s13059-014-0550-8" TargetMode="External"/>
<Relationship Id="rId102" Type="http://schemas.openxmlformats.org/officeDocument/2006/relationships/hyperlink" Target="https://doi.org/10.12688/f1000research.29032.2" TargetMode="External"/>
<Relationship Id="rId84" Type="http://schemas.openxmlformats.org/officeDocument/2006/relationships/hyperlink" Target="https://doi.org/10.1371/journal.ppat.1010718" TargetMode="External"/>
<Relationship Id="rId104" Type="http://schemas.openxmlformats.org/officeDocument/2006/relationships/hyperlink" Target="https://doi.org/10.14806/ej.17.1.200" TargetMode="External"/>
<Relationship Id="rId94" Type="http://schemas.openxmlformats.org/officeDocument/2006/relationships/hyperlink" Target="https://doi.org/10.15252/embj.2021109845" TargetMode="External"/>
<Relationship Id="rId53" Type="http://schemas.openxmlformats.org/officeDocument/2006/relationships/hyperlink" Target="https://doi.org/10.1637/8575-010509-reg.1" TargetMode="External"/>
<Relationship Id="rId61" Type="http://schemas.openxmlformats.org/officeDocument/2006/relationships/hyperlink" Target="https://doi.org/10.3389/fgene.2019.00384" TargetMode="External"/>
<Relationship Id="rId96" Type="http://schemas.openxmlformats.org/officeDocument/2006/relationships/hyperlink" Target="https://doi.org/10.3389/fimmu.2020.594963" TargetMode="External"/>
<Relationship Id="rId57" Type="http://schemas.openxmlformats.org/officeDocument/2006/relationships/hyperlink" Target="https://doi.org/10.3390/biology12070997" TargetMode="External"/>
<Relationship Id="rId27" Type="http://schemas.openxmlformats.org/officeDocument/2006/relationships/hyperlink" Target="https://ftp.ncbi.nlm.nih.gov/genomes/all/GCF/000/146/605/GCF_000146605.3_Turkey_5.1/GCF_000146605.3_Turkey_5.1_genomic.fna.gz" TargetMode="External"/>
<Relationship Id="rId28" Type="http://schemas.openxmlformats.org/officeDocument/2006/relationships/hyperlink" Target="https://ftp.ncbi.nlm.nih.gov/genomes/all/GCF/000/146/605/GCF_000146605.3_Turkey_5.1/GCF_000146605.3_Turkey_5.1_genomic.gtf.gz" TargetMode="External"/>
<Relationship Id="rId106"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3" Type="http://schemas.openxmlformats.org/officeDocument/2006/relationships/hyperlink" Target="http://scholar.lib.vt.edu/theses/available/etd-08142006-145339/" TargetMode="External"/>
<Relationship Id="rId110" Type="http://schemas.openxmlformats.org/officeDocument/2006/relationships/hyperlink" Target="https://CRAN.R-project.org/package=ggvenn" TargetMode="External"/>
<Relationship Id="rId108" Type="http://schemas.openxmlformats.org/officeDocument/2006/relationships/hyperlink" Target="https://CRAN.R-project.org/package=pheatmap" TargetMode="External"/>
<Relationship Id="rId31" Type="http://schemas.openxmlformats.org/officeDocument/2006/relationships/hyperlink" Target="https://blast.ncbi.nlm.nih.gov/Blast.cgi?PROGRAM=blastn" TargetMode="External"/>
<Relationship Id="rId112" Type="http://schemas.openxmlformats.org/officeDocument/2006/relationships/hyperlink" Target="https://doi.org/10.1006/meth.2001.1262" TargetMode="External"/>
<Relationship Id="rId55" Type="http://schemas.openxmlformats.org/officeDocument/2006/relationships/hyperlink" Target="https://doi.org/10.1007/s007050070083" TargetMode="External"/>
<Relationship Id="rId59" Type="http://schemas.openxmlformats.org/officeDocument/2006/relationships/hyperlink" Target="https://doi.org/10.1007/s10142-023-01064-6" TargetMode="External"/>
<Relationship Id="rId63" Type="http://schemas.openxmlformats.org/officeDocument/2006/relationships/hyperlink" Target="https://doi.org/10.1007/s12275-016-6233-2" TargetMode="External"/>
<Relationship Id="rId92" Type="http://schemas.openxmlformats.org/officeDocument/2006/relationships/hyperlink" Target="https://doi.org/10.1016/0165-2478(93)90080-l" TargetMode="External"/>
<Relationship Id="rId38" Type="http://schemas.openxmlformats.org/officeDocument/2006/relationships/hyperlink" Target="https://doi.org/10.1016/B978-012374410-4.00680-4" TargetMode="External"/>
<Relationship Id="rId98" Type="http://schemas.openxmlformats.org/officeDocument/2006/relationships/hyperlink" Target="https://doi.org/10.1016/j.cmet.2014.03.009" TargetMode="External"/>
<Relationship Id="rId100" Type="http://schemas.openxmlformats.org/officeDocument/2006/relationships/hyperlink" Target="https://doi.org/10.1016/j.jviromet.2016.11.002" TargetMode="External"/>
<Relationship Id="rId90" Type="http://schemas.openxmlformats.org/officeDocument/2006/relationships/hyperlink" Target="https://doi.org/10.1016/j.molmed.2006.07.007" TargetMode="External"/>
<Relationship Id="rId65" Type="http://schemas.openxmlformats.org/officeDocument/2006/relationships/hyperlink" Target="https://doi.org/10.1016/j.virs.2022.09.002" TargetMode="External"/>
<Relationship Id="rId50" Type="http://schemas.openxmlformats.org/officeDocument/2006/relationships/hyperlink" Target="https://doi.org/10.1016/s0145-305x(99)00075-0" TargetMode="External"/>
<Relationship Id="rId82" Type="http://schemas.openxmlformats.org/officeDocument/2006/relationships/hyperlink" Target="https://doi.org/10.1016/s1054-3589(08)61063-7" TargetMode="External"/>
<Relationship Id="rId67" Type="http://schemas.openxmlformats.org/officeDocument/2006/relationships/hyperlink" Target="https://doi.org/10.1038/75556" TargetMode="External"/>
<Relationship Id="rId71" Type="http://schemas.openxmlformats.org/officeDocument/2006/relationships/hyperlink" Target="https://doi.org/10.1038/nprot.2016.095" TargetMode="External"/>
<Relationship Id="rId80" Type="http://schemas.openxmlformats.org/officeDocument/2006/relationships/hyperlink" Target="https://doi.org/10.1038/sj.cdd.4400823" TargetMode="External"/>
<Relationship Id="rId45" Type="http://schemas.openxmlformats.org/officeDocument/2006/relationships/hyperlink" Target="https://doi.org/10.1080/01652176.2016.1277281" TargetMode="External"/>
<Relationship Id="rId78" Type="http://schemas.openxmlformats.org/officeDocument/2006/relationships/hyperlink" Target="https://doi.org/10.1080/03079459308418899" TargetMode="External"/>
<Relationship Id="rId69" Type="http://schemas.openxmlformats.org/officeDocument/2006/relationships/hyperlink" Target="https://doi.org/10.1093/nar/28.1.27" TargetMode="External"/>
<Relationship Id="rId75" Type="http://schemas.openxmlformats.org/officeDocument/2006/relationships/hyperlink" Target="https://doi.org/10.1093/nar/gkac194" TargetMode="External"/>
<Relationship Id="rId40" Type="http://schemas.openxmlformats.org/officeDocument/2006/relationships/hyperlink" Target="https://doi.org/10.1099/vir.0.19497-0" TargetMode="External"/>
<Relationship Id="rId86" Type="http://schemas.openxmlformats.org/officeDocument/2006/relationships/hyperlink" Target="https://doi.org/10.1128/jvi.40.1.20-27.1981" TargetMode="External"/>
<Relationship Id="rId47" Type="http://schemas.openxmlformats.org/officeDocument/2006/relationships/hyperlink" Target="https://doi.org/10.1186/s12917-019-2138-8" TargetMode="External"/>
<Relationship Id="rId88" Type="http://schemas.openxmlformats.org/officeDocument/2006/relationships/hyperlink" Target="https://doi.org/10.1186/s12985-024-02449-0" TargetMode="External"/>
<Relationship Id="rId73" Type="http://schemas.openxmlformats.org/officeDocument/2006/relationships/hyperlink" Target="https://doi.org/10.1186/s13059-014-0550-8" TargetMode="External"/>
<Relationship Id="rId102" Type="http://schemas.openxmlformats.org/officeDocument/2006/relationships/hyperlink" Target="https://doi.org/10.12688/f1000research.29032.2" TargetMode="External"/>
<Relationship Id="rId84" Type="http://schemas.openxmlformats.org/officeDocument/2006/relationships/hyperlink" Target="https://doi.org/10.1371/journal.ppat.1010718" TargetMode="External"/>
<Relationship Id="rId104" Type="http://schemas.openxmlformats.org/officeDocument/2006/relationships/hyperlink" Target="https://doi.org/10.14806/ej.17.1.200" TargetMode="External"/>
<Relationship Id="rId94" Type="http://schemas.openxmlformats.org/officeDocument/2006/relationships/hyperlink" Target="https://doi.org/10.15252/embj.2021109845" TargetMode="External"/>
<Relationship Id="rId53" Type="http://schemas.openxmlformats.org/officeDocument/2006/relationships/hyperlink" Target="https://doi.org/10.1637/8575-010509-reg.1" TargetMode="External"/>
<Relationship Id="rId61" Type="http://schemas.openxmlformats.org/officeDocument/2006/relationships/hyperlink" Target="https://doi.org/10.3389/fgene.2019.00384" TargetMode="External"/>
<Relationship Id="rId96" Type="http://schemas.openxmlformats.org/officeDocument/2006/relationships/hyperlink" Target="https://doi.org/10.3389/fimmu.2020.594963" TargetMode="External"/>
<Relationship Id="rId57" Type="http://schemas.openxmlformats.org/officeDocument/2006/relationships/hyperlink" Target="https://doi.org/10.3390/biology12070997" TargetMode="External"/>
<Relationship Id="rId27" Type="http://schemas.openxmlformats.org/officeDocument/2006/relationships/hyperlink" Target="https://ftp.ncbi.nlm.nih.gov/genomes/all/GCF/000/146/605/GCF_000146605.3_Turkey_5.1/GCF_000146605.3_Turkey_5.1_genomic.fna.gz" TargetMode="External"/>
<Relationship Id="rId28" Type="http://schemas.openxmlformats.org/officeDocument/2006/relationships/hyperlink" Target="https://ftp.ncbi.nlm.nih.gov/genomes/all/GCF/000/146/605/GCF_000146605.3_Turkey_5.1/GCF_000146605.3_Turkey_5.1_genomic.gtf.gz" TargetMode="External"/>
<Relationship Id="rId106"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2024-12-27T23:49:12Z</dcterms:created>
  <dcterms:modified xsi:type="dcterms:W3CDTF">2024-12-27T16:49:16Z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